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E3" w:rsidRPr="009E5E1E" w:rsidRDefault="00B835E3" w:rsidP="00B835E3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B835E3" w:rsidRPr="009E5E1E" w:rsidRDefault="00B835E3" w:rsidP="00B835E3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B835E3" w:rsidRPr="009E5E1E" w:rsidRDefault="00B835E3" w:rsidP="00B835E3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35E3" w:rsidRPr="009E5E1E" w:rsidRDefault="00B835E3" w:rsidP="00B835E3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B835E3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</w:t>
            </w:r>
            <w:proofErr w:type="gram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_»_</w:t>
            </w:r>
            <w:proofErr w:type="gramEnd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_08_ 2024__г.</w:t>
            </w:r>
          </w:p>
          <w:p w:rsidR="00B835E3" w:rsidRPr="009E5E1E" w:rsidRDefault="00B835E3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  <w:proofErr w:type="spellEnd"/>
          </w:p>
          <w:p w:rsidR="00B835E3" w:rsidRPr="009E5E1E" w:rsidRDefault="00B835E3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5E3" w:rsidRPr="009E5E1E" w:rsidRDefault="00B835E3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B835E3" w:rsidRPr="009E5E1E" w:rsidRDefault="00B835E3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B835E3" w:rsidRPr="009E5E1E" w:rsidRDefault="00B835E3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____________О.Б. </w:t>
            </w:r>
            <w:proofErr w:type="spell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Кухарская</w:t>
            </w:r>
            <w:proofErr w:type="spellEnd"/>
          </w:p>
          <w:p w:rsidR="00B835E3" w:rsidRPr="009E5E1E" w:rsidRDefault="00B835E3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B835E3" w:rsidRPr="00B835E3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835E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«СГ.05 ОСНОВЫ БЕРЕЖЛИВОГО ПРОИЗВОДСТВА»</w:t>
      </w:r>
    </w:p>
    <w:p w:rsidR="00B835E3" w:rsidRDefault="00B835E3" w:rsidP="00B835E3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B835E3" w:rsidRDefault="00B835E3" w:rsidP="00B835E3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B835E3" w:rsidRDefault="00B835E3" w:rsidP="00B835E3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B835E3" w:rsidRPr="009E5E1E" w:rsidRDefault="00B835E3" w:rsidP="00B835E3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9E5E1E" w:rsidRDefault="00B835E3" w:rsidP="00B8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B835E3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B835E3" w:rsidRPr="009E5E1E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B835E3" w:rsidRPr="009E5E1E" w:rsidRDefault="00B835E3" w:rsidP="00B835E3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835E3" w:rsidRPr="009E5E1E" w:rsidRDefault="00B835E3" w:rsidP="00B835E3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политехнический  колледж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</w:p>
    <w:p w:rsidR="00B835E3" w:rsidRPr="009E5E1E" w:rsidRDefault="00B835E3" w:rsidP="00B835E3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B835E3" w:rsidRPr="009E5E1E" w:rsidRDefault="00B835E3" w:rsidP="00B835E3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B835E3" w:rsidRPr="009E5E1E" w:rsidRDefault="00B835E3" w:rsidP="00B835E3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Сафонова С.Е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ТОГБПОУ  «</w:t>
      </w:r>
      <w:proofErr w:type="spellStart"/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B835E3" w:rsidRPr="009E5E1E" w:rsidRDefault="00B835E3" w:rsidP="00B835E3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635E19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B835E3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B835E3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B835E3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B835E3" w:rsidRDefault="00B835E3" w:rsidP="00B835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835E3" w:rsidRPr="00B835E3" w:rsidRDefault="00B835E3" w:rsidP="00B835E3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B835E3">
        <w:rPr>
          <w:rFonts w:ascii="Calibri" w:eastAsia="Calibri" w:hAnsi="Calibri" w:cs="Times New Roman"/>
        </w:rPr>
        <w:br w:type="page"/>
      </w:r>
    </w:p>
    <w:p w:rsidR="00B835E3" w:rsidRPr="00B835E3" w:rsidRDefault="00B835E3" w:rsidP="00B835E3">
      <w:pPr>
        <w:keepNext/>
        <w:shd w:val="clear" w:color="auto" w:fill="FFFFFF"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B835E3" w:rsidRPr="00B835E3" w:rsidRDefault="00B835E3" w:rsidP="00B835E3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B835E3">
        <w:rPr>
          <w:rFonts w:ascii="Times New Roman" w:eastAsia="Calibri" w:hAnsi="Times New Roman" w:cs="Times New Roman"/>
          <w:noProof/>
        </w:rPr>
        <w:fldChar w:fldCharType="begin"/>
      </w:r>
      <w:r w:rsidRPr="00B835E3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B835E3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B835E3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B835E3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>4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56825290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835E3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 xml:space="preserve">1.3. </w:t>
      </w:r>
      <w:r w:rsidRPr="00B835E3">
        <w:rPr>
          <w:rFonts w:ascii="Times New Roman" w:eastAsia="Calibri" w:hAnsi="Times New Roman" w:cs="Times New Roman"/>
          <w:sz w:val="24"/>
          <w:szCs w:val="24"/>
          <w:u w:val="single"/>
        </w:rPr>
        <w:t>Обоснование часов вариативной части ОПОП-П…</w:t>
      </w:r>
      <w:r w:rsidRPr="00B835E3">
        <w:rPr>
          <w:rFonts w:ascii="Times New Roman" w:eastAsia="Calibri" w:hAnsi="Times New Roman" w:cs="Times New Roman"/>
          <w:sz w:val="24"/>
          <w:szCs w:val="24"/>
        </w:rPr>
        <w:t>……………</w:t>
      </w:r>
      <w:proofErr w:type="gramStart"/>
      <w:r w:rsidRPr="00B835E3">
        <w:rPr>
          <w:rFonts w:ascii="Times New Roman" w:eastAsia="Calibri" w:hAnsi="Times New Roman" w:cs="Times New Roman"/>
          <w:sz w:val="24"/>
          <w:szCs w:val="24"/>
        </w:rPr>
        <w:t>……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B835E3">
        <w:rPr>
          <w:rFonts w:ascii="Times New Roman" w:eastAsia="Calibri" w:hAnsi="Times New Roman" w:cs="Times New Roman"/>
          <w:sz w:val="24"/>
          <w:szCs w:val="24"/>
        </w:rPr>
        <w:t>…………………...6</w:t>
      </w:r>
    </w:p>
    <w:p w:rsidR="00B835E3" w:rsidRPr="00B835E3" w:rsidRDefault="00B835E3" w:rsidP="00B835E3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B835E3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7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7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B835E3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11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11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B835E3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B835E3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12</w:t>
        </w:r>
      </w:hyperlink>
    </w:p>
    <w:p w:rsidR="00B835E3" w:rsidRPr="00B835E3" w:rsidRDefault="00B835E3" w:rsidP="00B835E3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B835E3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B835E3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12</w:t>
        </w:r>
      </w:hyperlink>
    </w:p>
    <w:p w:rsidR="00B835E3" w:rsidRPr="00B835E3" w:rsidRDefault="00B835E3" w:rsidP="00B835E3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B835E3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B835E3" w:rsidRPr="00B835E3" w:rsidRDefault="00B835E3" w:rsidP="00B835E3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B835E3" w:rsidRPr="00B835E3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835E3" w:rsidRPr="00B835E3" w:rsidRDefault="00B835E3" w:rsidP="00B835E3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B835E3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B835E3" w:rsidRPr="00B835E3" w:rsidRDefault="00B835E3" w:rsidP="00B835E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sz w:val="24"/>
          <w:szCs w:val="24"/>
        </w:rPr>
        <w:t>«СГ.05 Основы бережливого производства»</w:t>
      </w:r>
    </w:p>
    <w:p w:rsidR="00B835E3" w:rsidRPr="00B835E3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B835E3" w:rsidRPr="00B835E3" w:rsidRDefault="00B835E3" w:rsidP="00B83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5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B835E3">
        <w:rPr>
          <w:rFonts w:ascii="Times New Roman" w:eastAsia="Calibri" w:hAnsi="Times New Roman" w:cs="Times New Roman"/>
          <w:sz w:val="24"/>
          <w:szCs w:val="24"/>
        </w:rPr>
        <w:t>«СГ.05 Основы бережливого производства» - развитие компетенции и формирование практических навыков в разнообразных сферах деятельности на основе философии, принципов и инструментов бережливого производства.</w:t>
      </w:r>
    </w:p>
    <w:p w:rsidR="00B835E3" w:rsidRPr="00B835E3" w:rsidRDefault="00B835E3" w:rsidP="00B835E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Учебная дисциплина «СГ.05 Основы бережливого производства» является обязательной частью социально-гуманитарного цикла образовательной программы в соответствии с ФГОС СПО по </w:t>
      </w:r>
      <w:r w:rsidRPr="00B835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профессии </w:t>
      </w:r>
      <w:r w:rsidRPr="00B835E3">
        <w:rPr>
          <w:rFonts w:ascii="Times New Roman" w:eastAsia="Calibri" w:hAnsi="Times New Roman" w:cs="Times New Roman"/>
          <w:bCs/>
          <w:sz w:val="24"/>
          <w:szCs w:val="24"/>
        </w:rPr>
        <w:t>15.01.05 Сварщик (ручной и частично механизированной сварки (наплавки)</w:t>
      </w:r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835E3" w:rsidRPr="00B835E3" w:rsidRDefault="00B835E3" w:rsidP="00B835E3">
      <w:pPr>
        <w:spacing w:after="120" w:line="240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B835E3" w:rsidRPr="00B835E3" w:rsidRDefault="00B835E3" w:rsidP="00B835E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5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результатами освоения образовательной программы, представленными в матрице компетенций выпускника.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В результате освоения дисциплины обучающийся должен: </w:t>
      </w:r>
    </w:p>
    <w:p w:rsidR="00B835E3" w:rsidRPr="00B835E3" w:rsidRDefault="00B835E3" w:rsidP="00B835E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4107"/>
        <w:gridCol w:w="4253"/>
      </w:tblGrid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B835E3" w:rsidRPr="00B835E3" w:rsidTr="00B835E3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B835E3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B835E3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B835E3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определять этапы решения задачи;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B835E3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</w:pPr>
            <w:r w:rsidRPr="00B835E3">
              <w:rPr>
                <w:rFonts w:ascii="Times New Roman" w:eastAsia="Segoe UI" w:hAnsi="Times New Roman" w:cs="Times New Roman"/>
                <w:iCs/>
                <w:sz w:val="24"/>
                <w:szCs w:val="24"/>
              </w:rPr>
              <w:t>составлять план действия;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современные средства и устройства информатизации; порядок их применения и программное обеспечение в профессиональной </w:t>
            </w: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деятельности в том числе с использованием цифровых средств.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описывать значимость своей профессии</w:t>
            </w:r>
            <w:r w:rsidRPr="00B835E3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; </w:t>
            </w: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профессии; стандарты антикоррупционного поведения и последствия его нарушения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профессии 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B835E3" w:rsidRPr="00B835E3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5E3" w:rsidRPr="00B835E3" w:rsidRDefault="00B835E3" w:rsidP="00B835E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B835E3" w:rsidRPr="00B835E3" w:rsidRDefault="00B835E3" w:rsidP="00B835E3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B835E3" w:rsidRDefault="00B835E3" w:rsidP="00B835E3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35E3" w:rsidRPr="00B835E3" w:rsidRDefault="00B835E3" w:rsidP="00B835E3">
      <w:pPr>
        <w:numPr>
          <w:ilvl w:val="1"/>
          <w:numId w:val="1"/>
        </w:numPr>
        <w:spacing w:after="12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sz w:val="24"/>
          <w:szCs w:val="24"/>
        </w:rPr>
        <w:t>Обоснование часов вариативной части ОПОП-П</w:t>
      </w:r>
    </w:p>
    <w:p w:rsidR="00B835E3" w:rsidRPr="00B835E3" w:rsidRDefault="00B835E3" w:rsidP="00B835E3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53"/>
        <w:gridCol w:w="2958"/>
        <w:gridCol w:w="2293"/>
        <w:gridCol w:w="1361"/>
        <w:gridCol w:w="2274"/>
      </w:tblGrid>
      <w:tr w:rsidR="00B835E3" w:rsidRPr="00B835E3" w:rsidTr="00A71848">
        <w:tc>
          <w:tcPr>
            <w:tcW w:w="75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958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229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361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74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B835E3" w:rsidRPr="00B835E3" w:rsidTr="00A71848">
        <w:tc>
          <w:tcPr>
            <w:tcW w:w="75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58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Закрепление выполнения теоретического и практического материала </w:t>
            </w:r>
          </w:p>
        </w:tc>
        <w:tc>
          <w:tcPr>
            <w:tcW w:w="229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Инструменты БП: области применения, адаптация под вид профессиональной деятельности. </w:t>
            </w:r>
            <w:proofErr w:type="spellStart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Кайдзен</w:t>
            </w:r>
            <w:proofErr w:type="spellEnd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(непрерывное улучшение). «Пять «S» (система рационализации рабочего места).</w:t>
            </w:r>
          </w:p>
        </w:tc>
        <w:tc>
          <w:tcPr>
            <w:tcW w:w="1361" w:type="dxa"/>
          </w:tcPr>
          <w:p w:rsidR="00B835E3" w:rsidRPr="00B835E3" w:rsidRDefault="00B835E3" w:rsidP="00B835E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835E3" w:rsidRPr="00B835E3" w:rsidTr="00A71848">
        <w:tc>
          <w:tcPr>
            <w:tcW w:w="75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58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выполнения теоретического и практического материала</w:t>
            </w:r>
          </w:p>
        </w:tc>
        <w:tc>
          <w:tcPr>
            <w:tcW w:w="229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Семь классических инструментов контроля качества</w:t>
            </w:r>
          </w:p>
        </w:tc>
        <w:tc>
          <w:tcPr>
            <w:tcW w:w="1361" w:type="dxa"/>
          </w:tcPr>
          <w:p w:rsidR="00B835E3" w:rsidRPr="00B835E3" w:rsidRDefault="00B835E3" w:rsidP="00B835E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4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</w:tc>
      </w:tr>
      <w:tr w:rsidR="00B835E3" w:rsidRPr="00B835E3" w:rsidTr="00A71848">
        <w:tc>
          <w:tcPr>
            <w:tcW w:w="75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58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Закрепление выполнения теоретического и практического материала</w:t>
            </w:r>
          </w:p>
        </w:tc>
        <w:tc>
          <w:tcPr>
            <w:tcW w:w="2293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Технологии мотивации и стимулирование качества. Производственная культура на рабочем месте. Квалификация персонала и обучение</w:t>
            </w:r>
          </w:p>
        </w:tc>
        <w:tc>
          <w:tcPr>
            <w:tcW w:w="1361" w:type="dxa"/>
          </w:tcPr>
          <w:p w:rsidR="00B835E3" w:rsidRPr="00B835E3" w:rsidRDefault="00B835E3" w:rsidP="00B835E3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4" w:type="dxa"/>
          </w:tcPr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Систематизация и закрепление полученных знаний и практических умений обучающимися</w:t>
            </w:r>
          </w:p>
          <w:p w:rsidR="00B835E3" w:rsidRPr="00B835E3" w:rsidRDefault="00B835E3" w:rsidP="00B835E3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</w:tc>
      </w:tr>
    </w:tbl>
    <w:p w:rsidR="00B835E3" w:rsidRPr="00B835E3" w:rsidRDefault="00B835E3" w:rsidP="00B835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B835E3" w:rsidRPr="00B835E3" w:rsidRDefault="00B835E3" w:rsidP="00B835E3">
      <w:pPr>
        <w:spacing w:after="0" w:line="240" w:lineRule="auto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B835E3">
        <w:rPr>
          <w:rFonts w:ascii="Times New Roman" w:eastAsia="Calibri" w:hAnsi="Times New Roman" w:cs="Times New Roman"/>
        </w:rPr>
        <w:br w:type="page"/>
      </w:r>
    </w:p>
    <w:p w:rsidR="00B835E3" w:rsidRPr="00B835E3" w:rsidRDefault="00B835E3" w:rsidP="00B835E3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208"/>
        <w:gridCol w:w="2196"/>
      </w:tblGrid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23" w:type="pct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 xml:space="preserve">В </w:t>
            </w:r>
            <w:proofErr w:type="spellStart"/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>т.ч</w:t>
            </w:r>
            <w:proofErr w:type="spellEnd"/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>практ</w:t>
            </w:r>
            <w:proofErr w:type="spellEnd"/>
            <w:r w:rsidRPr="00B835E3">
              <w:rPr>
                <w:rFonts w:ascii="Times New Roman" w:eastAsia="Calibri" w:hAnsi="Times New Roman" w:cs="Times New Roman"/>
                <w:b/>
                <w:sz w:val="24"/>
              </w:rPr>
              <w:t>. подготовки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теоретические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B835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</w:t>
            </w:r>
            <w:r w:rsidRPr="00B835E3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835E3" w:rsidRPr="00B835E3" w:rsidTr="00A71848">
        <w:trPr>
          <w:trHeight w:val="23"/>
        </w:trPr>
        <w:tc>
          <w:tcPr>
            <w:tcW w:w="3259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18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23" w:type="pct"/>
            <w:vAlign w:val="center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B835E3" w:rsidRPr="00B835E3" w:rsidRDefault="00B835E3" w:rsidP="00B835E3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Calibri" w:hAnsi="Times New Roman" w:cs="Times New Roman"/>
        </w:rPr>
        <w:br w:type="page"/>
      </w: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B835E3" w:rsidRPr="00B835E3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B835E3" w:rsidRPr="00B835E3" w:rsidTr="00A71848">
        <w:trPr>
          <w:trHeight w:val="903"/>
        </w:trPr>
        <w:tc>
          <w:tcPr>
            <w:tcW w:w="2972" w:type="dxa"/>
            <w:vAlign w:val="center"/>
          </w:tcPr>
          <w:p w:rsidR="00B835E3" w:rsidRPr="00B835E3" w:rsidRDefault="00B835E3" w:rsidP="00B835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835E3" w:rsidRPr="00B835E3" w:rsidTr="00A71848">
        <w:tc>
          <w:tcPr>
            <w:tcW w:w="9634" w:type="dxa"/>
            <w:gridSpan w:val="2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3" w:name="_Hlk156226944"/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Бережливое производство: основные понятия, принципы, методология, </w:t>
            </w:r>
            <w:proofErr w:type="spellStart"/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проблематизация</w:t>
            </w:r>
            <w:proofErr w:type="spellEnd"/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38/18</w:t>
            </w:r>
          </w:p>
        </w:tc>
        <w:tc>
          <w:tcPr>
            <w:tcW w:w="2409" w:type="dxa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B835E3"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1.1.</w:t>
            </w:r>
            <w:r w:rsidRPr="00B835E3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понятия и методология бережливого производства</w:t>
            </w:r>
          </w:p>
        </w:tc>
        <w:tc>
          <w:tcPr>
            <w:tcW w:w="6662" w:type="dxa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</w:tc>
      </w:tr>
      <w:tr w:rsidR="00B835E3" w:rsidRPr="00B835E3" w:rsidTr="00A71848">
        <w:trPr>
          <w:trHeight w:val="396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Цели, задачи учебной дисциплины «Основы бережливого производства». Предпосылки формирования концепции бережливого производства (БП). Принципы и концепция системы БП. Серия ГОСТ Р «Бережливое производство». Идеи бережливого производства в условиях современного рынка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20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204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1.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Фабрика процессов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B835E3">
        <w:trPr>
          <w:trHeight w:val="361"/>
        </w:trPr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1.2.</w:t>
            </w:r>
            <w:r w:rsidRPr="00B835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Бережливый проект. Картирование потока создания ценности. Потери и действия, добавляющие ценность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6/4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Поток создания ценности. Принципы картирования процесса. Цели применения карт потоков. Виды картирования. Этапы проведения </w:t>
            </w:r>
            <w:proofErr w:type="spellStart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карирования</w:t>
            </w:r>
            <w:proofErr w:type="spellEnd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. Инструменты картирования потока создания ценности. Карта целевого состояния потока создания ценности. Карта идеального состояния потока создания ценности. Карта текущего состояния потока создания ценности. Типичные ошибки при картировании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137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2.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темы бережливого проекта для команды. Разработка паспорта проекта. 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137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Практическое занятие 3. 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Картирование потока создания ценностей по проекту в соответствии с профилем (направленностью) профессиональной деятельности в соответствии с предложенным алгоритмом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B835E3">
        <w:trPr>
          <w:trHeight w:val="361"/>
        </w:trPr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1.3.</w:t>
            </w:r>
            <w:r w:rsidRPr="00B835E3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решения проблем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6/2</w:t>
            </w:r>
          </w:p>
        </w:tc>
        <w:tc>
          <w:tcPr>
            <w:tcW w:w="2409" w:type="dxa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Проблемно-ориентированное мышление.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«проблема», определение и формулирование проблемы. Определение ключевых причин возникновения проблемы.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анализа проблем: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фиксация проблемы;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детализация проблемы;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определение отклонения;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изучение причины возникновения проблемы;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разработка корректирующих мероприятий;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реализация корректирующих мероприятий; </w:t>
            </w:r>
          </w:p>
          <w:p w:rsidR="00B835E3" w:rsidRPr="00B835E3" w:rsidRDefault="00B835E3" w:rsidP="00B835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проверка результата; 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• стандартизация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4.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Выбор инструментов решения проблемы в рамках реализуемого проекта по результатам картирования (Техника 4W+2H + декомпозиция проблемы, изучение причин возникновения, разработка корректирующих действий)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bookmarkEnd w:id="3"/>
      <w:tr w:rsidR="00B835E3" w:rsidRPr="00B835E3" w:rsidTr="00A71848">
        <w:tc>
          <w:tcPr>
            <w:tcW w:w="9634" w:type="dxa"/>
            <w:gridSpan w:val="2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Реализация принципов бережливого производства в профессиональной деятельности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B835E3"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2.1. Инструменты бережливого производства</w:t>
            </w:r>
          </w:p>
        </w:tc>
        <w:tc>
          <w:tcPr>
            <w:tcW w:w="6662" w:type="dxa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8/2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</w:tc>
      </w:tr>
      <w:tr w:rsidR="00B835E3" w:rsidRPr="00B835E3" w:rsidTr="00A71848">
        <w:trPr>
          <w:trHeight w:val="396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Инструменты БП: области применения, адаптация под вид профессиональной деятельности. </w:t>
            </w:r>
            <w:proofErr w:type="spellStart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Кайдзен</w:t>
            </w:r>
            <w:proofErr w:type="spellEnd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(непрерывное улучшение). «Пять «S» (система рационализации рабочего места). 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20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204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5.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Применение методов бережливого производства в выбранном студентами проекте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Стандартизированная работа. Методика всеобщего обслуживания оборудования ТРМ. Методика быстрой переналадки SMED. Встроенное качество. </w:t>
            </w:r>
            <w:proofErr w:type="spellStart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Канбан</w:t>
            </w:r>
            <w:proofErr w:type="spellEnd"/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, поток единичных изделий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B835E3">
        <w:trPr>
          <w:trHeight w:val="361"/>
        </w:trPr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2.2. Внедрение методов бережливого производства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Модель внедрения БП. Ключевые показатели эффективности работы. Целеполагание в бережливой организации. Типичные ошибки применения методов БП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137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Практическое занятие 6.</w:t>
            </w:r>
            <w:r w:rsidRPr="00B835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целей и способов их достижения. Подготовка вариантов решения с использованием методов БП</w:t>
            </w: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35E3" w:rsidRPr="00B835E3" w:rsidTr="00B835E3">
        <w:trPr>
          <w:trHeight w:val="361"/>
        </w:trPr>
        <w:tc>
          <w:tcPr>
            <w:tcW w:w="2972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Технологии вовлечения и мотивации персонала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8/4</w:t>
            </w:r>
          </w:p>
        </w:tc>
        <w:tc>
          <w:tcPr>
            <w:tcW w:w="2409" w:type="dxa"/>
            <w:vMerge w:val="restart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01, ОК.02, ОК.04 - ОК.07, ОК.09</w:t>
            </w: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Лидерство как новый тип производственных отношений. Вовлечение персонала в БП, организация работы с производственными инициативами и предложениями по улучшениям. Методы преодоления сопротивления изменениям. 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Технологии мотивации и стимулирование качества. Производственная культура на рабочем месте. Квалификация персонала и обучение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Практическое занятие 7. 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Применение методов мотивации персонала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A71848">
        <w:trPr>
          <w:trHeight w:val="361"/>
        </w:trPr>
        <w:tc>
          <w:tcPr>
            <w:tcW w:w="2972" w:type="dxa"/>
            <w:vMerge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8.</w:t>
            </w: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Представление проекта «Итоговая фабрика процессов»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B835E3" w:rsidRPr="00B835E3" w:rsidRDefault="00B835E3" w:rsidP="00B83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35E3" w:rsidRPr="00B835E3" w:rsidTr="00B835E3">
        <w:tc>
          <w:tcPr>
            <w:tcW w:w="9634" w:type="dxa"/>
            <w:gridSpan w:val="2"/>
          </w:tcPr>
          <w:p w:rsidR="00B835E3" w:rsidRPr="00B835E3" w:rsidRDefault="00B835E3" w:rsidP="00B835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Промежуточная аттестация в форме </w:t>
            </w:r>
            <w:proofErr w:type="spellStart"/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диф</w:t>
            </w:r>
            <w:proofErr w:type="spellEnd"/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зачета</w:t>
            </w:r>
          </w:p>
        </w:tc>
        <w:tc>
          <w:tcPr>
            <w:tcW w:w="2694" w:type="dxa"/>
            <w:shd w:val="clear" w:color="auto" w:fill="FFFFFF"/>
          </w:tcPr>
          <w:p w:rsidR="00B835E3" w:rsidRPr="00B835E3" w:rsidRDefault="00B835E3" w:rsidP="00B835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B835E3" w:rsidRPr="00B835E3" w:rsidRDefault="00B835E3" w:rsidP="00B835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B835E3" w:rsidRPr="00B835E3" w:rsidTr="00A71848">
        <w:tc>
          <w:tcPr>
            <w:tcW w:w="9634" w:type="dxa"/>
            <w:gridSpan w:val="2"/>
          </w:tcPr>
          <w:p w:rsidR="00B835E3" w:rsidRPr="00B835E3" w:rsidRDefault="00B835E3" w:rsidP="00B835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B835E3" w:rsidRPr="00B835E3" w:rsidRDefault="00B835E3" w:rsidP="00B835E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35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2409" w:type="dxa"/>
          </w:tcPr>
          <w:p w:rsidR="00B835E3" w:rsidRPr="00B835E3" w:rsidRDefault="00B835E3" w:rsidP="00B835E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B835E3" w:rsidRPr="00B835E3" w:rsidRDefault="00B835E3" w:rsidP="00B8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B835E3" w:rsidRPr="00B835E3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835E3" w:rsidRPr="00B835E3" w:rsidRDefault="00B835E3" w:rsidP="00B835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B835E3" w:rsidRDefault="00B835E3" w:rsidP="00B835E3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>Кабинет</w:t>
      </w:r>
      <w:r w:rsidRPr="00B835E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B835E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B835E3">
        <w:rPr>
          <w:rFonts w:ascii="Times New Roman" w:eastAsia="Calibri" w:hAnsi="Times New Roman" w:cs="Times New Roman"/>
          <w:bCs/>
          <w:iCs/>
          <w:noProof/>
          <w:sz w:val="24"/>
          <w:szCs w:val="24"/>
        </w:rPr>
        <w:t>Социально-гуманитарных дисциплин</w:t>
      </w:r>
      <w:r w:rsidRPr="00B835E3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Pr="00B835E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,</w:t>
      </w:r>
      <w:r w:rsidRPr="00B835E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оснащенный: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- </w:t>
      </w:r>
      <w:r w:rsidRPr="00B835E3">
        <w:rPr>
          <w:rFonts w:ascii="Times New Roman" w:eastAsia="Calibri" w:hAnsi="Times New Roman" w:cs="Times New Roman"/>
          <w:sz w:val="24"/>
          <w:szCs w:val="24"/>
        </w:rPr>
        <w:t>стол ученический по количеству обучающихся;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- стул ученический по количеству обучающихся;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- стол преподавателя;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- стул преподавателя;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- доска меловая;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- наглядные плакаты по соответствующим тематикам дисциплины.</w:t>
      </w:r>
    </w:p>
    <w:p w:rsidR="00B835E3" w:rsidRPr="00B835E3" w:rsidRDefault="00B835E3" w:rsidP="00B835E3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B835E3" w:rsidRDefault="00B835E3" w:rsidP="00B835E3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35E3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B835E3" w:rsidRPr="00B835E3" w:rsidRDefault="00B835E3" w:rsidP="00B835E3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издания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>1. Бурнашева, Э. П. Основы бережливого производства / Э. П. Бурнашева. — 2-е изд., стер. — Санкт-</w:t>
      </w:r>
      <w:proofErr w:type="gram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Петербург :</w:t>
      </w:r>
      <w:proofErr w:type="gram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 Лань, 2023. — 76 с. — ISBN 978-5-507-45505-8. — </w:t>
      </w:r>
      <w:proofErr w:type="gram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Текст :</w:t>
      </w:r>
      <w:proofErr w:type="gram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 электронный // Лань : электронно-библиотечная система. — URL: https://e.lanbook.com/book/271253 (дата обращения: 27.12.2022). — Режим доступа: для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авториз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. пользователей.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Вумек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, Дж., Джонс Д. Бережливое производство. – Москва: Альпина Бизнес Букс, 2021. – 472 с. – Текст: непосредственный. 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3.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Зинчик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 Н.С., Бережливое производство: учебник/Н.С.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Зинчик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, О.В. Кадырова, Ю.И.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Растова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; под общ. ред. А.Г.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Бездудной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КноРус</w:t>
      </w:r>
      <w:proofErr w:type="spellEnd"/>
      <w:r w:rsidRPr="00B835E3">
        <w:rPr>
          <w:rFonts w:ascii="Times New Roman" w:eastAsia="Calibri" w:hAnsi="Times New Roman" w:cs="Times New Roman"/>
          <w:bCs/>
          <w:sz w:val="24"/>
          <w:szCs w:val="24"/>
        </w:rPr>
        <w:t>, 2022. – 203 с. – Текст: непосредственный</w:t>
      </w:r>
    </w:p>
    <w:p w:rsidR="00B835E3" w:rsidRPr="00B835E3" w:rsidRDefault="00B835E3" w:rsidP="00B835E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zh-CN"/>
        </w:rPr>
      </w:pPr>
    </w:p>
    <w:p w:rsidR="00B835E3" w:rsidRPr="00B835E3" w:rsidRDefault="00B835E3" w:rsidP="00B835E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835E3">
        <w:rPr>
          <w:rFonts w:ascii="Times New Roman" w:eastAsia="Calibri" w:hAnsi="Times New Roman" w:cs="Times New Roman"/>
          <w:b/>
          <w:bCs/>
          <w:sz w:val="24"/>
          <w:szCs w:val="24"/>
        </w:rPr>
        <w:t>3.2.2. Дополнительные источники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Бородулин А.Л., Казарин В.В., Косарева Н.С., Серебренников С.С., Харитонов С.С. Бережливое производство. Учебное пособие. – СПб.: Питер, 2022. – 224с.: - Режим доступа: URL: Книга Бережливое производство скачать бесплатно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без регистрации, автор С. С. Харитонов –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Fictionbook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Вейдер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М.Т. Инструменты бережливого производства. Карманное руководство по практике применения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Lean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/ М.Т.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Вейдер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. – Москва: Интеллектуальная литература, 2019. – 160 с. Текст: непосредственный. 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>Клюев А. В. Бережливое производство [Электронный ресурс]: учебное пособие для СПО / А. В. Клюев; под ред. И. В. Ершовой. - Саратов, Екатеринбург: Профобразование, Уральский федеральный университет, 2019. - 87 c. - ЭБС «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IPRbooks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» - Режим доступа: URL: https://www.iprbookshop.ru/87789.html (дата обращения: 03.02.2022). 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Лайкер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Дж. Практика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дао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Toyota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: руководство по внедрению принципов менеджмента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Toyota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/ Джеффри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Лайкер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, Дэвид Майер; Пер. с англ. — Москва: Альпина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Паблишер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, 2019. – 586 с. - Текст: непосредственный. 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lastRenderedPageBreak/>
        <w:t>Фролов В.П. Внедрение технологий бережливого производства в управление производством и организацию рабочих мест: монография. – 2-е изд. – Москва: Издательско-торговая корпорация «Дашков и К», 2022.</w:t>
      </w:r>
      <w:bookmarkStart w:id="4" w:name="_GoBack"/>
      <w:bookmarkEnd w:id="4"/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 - 77с. - Текст: непосредственный </w:t>
      </w:r>
    </w:p>
    <w:p w:rsidR="00B835E3" w:rsidRPr="00B835E3" w:rsidRDefault="00B835E3" w:rsidP="00B835E3">
      <w:pPr>
        <w:numPr>
          <w:ilvl w:val="0"/>
          <w:numId w:val="2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35E3">
        <w:rPr>
          <w:rFonts w:ascii="Times New Roman" w:eastAsia="Calibri" w:hAnsi="Times New Roman" w:cs="Times New Roman"/>
          <w:sz w:val="24"/>
          <w:szCs w:val="24"/>
        </w:rPr>
        <w:t xml:space="preserve">ГОСТ Р 56404-2021 Бережливое производство. Требования к системам менеджмента — Москва: </w:t>
      </w:r>
      <w:proofErr w:type="spellStart"/>
      <w:r w:rsidRPr="00B835E3">
        <w:rPr>
          <w:rFonts w:ascii="Times New Roman" w:eastAsia="Calibri" w:hAnsi="Times New Roman" w:cs="Times New Roman"/>
          <w:sz w:val="24"/>
          <w:szCs w:val="24"/>
        </w:rPr>
        <w:t>Стандартинформ</w:t>
      </w:r>
      <w:proofErr w:type="spellEnd"/>
      <w:r w:rsidRPr="00B835E3">
        <w:rPr>
          <w:rFonts w:ascii="Times New Roman" w:eastAsia="Calibri" w:hAnsi="Times New Roman" w:cs="Times New Roman"/>
          <w:sz w:val="24"/>
          <w:szCs w:val="24"/>
        </w:rPr>
        <w:t>, 2021. — 16 с.— URL: http://goupu-19.ru/wpcontent/uploads/2021/11/gost-r-56404-2021-vzamen-56404-2015-berezhlivoe-proizvodstvo.- trabovaniya-k-sistemam-menedzhmenta.pdf (дата обращения: 03.02.2022)</w:t>
      </w:r>
    </w:p>
    <w:p w:rsidR="00B835E3" w:rsidRPr="00B835E3" w:rsidRDefault="00B835E3" w:rsidP="00B835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B835E3" w:rsidRDefault="00B835E3" w:rsidP="00B835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35E3" w:rsidRPr="00B835E3" w:rsidRDefault="00B835E3" w:rsidP="00B835E3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B835E3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3406"/>
        <w:gridCol w:w="2988"/>
      </w:tblGrid>
      <w:tr w:rsidR="00B835E3" w:rsidRPr="00B835E3" w:rsidTr="00A71848">
        <w:trPr>
          <w:trHeight w:val="519"/>
        </w:trPr>
        <w:tc>
          <w:tcPr>
            <w:tcW w:w="1543" w:type="pct"/>
            <w:vAlign w:val="center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B835E3" w:rsidRPr="00B835E3" w:rsidTr="00A71848">
        <w:trPr>
          <w:trHeight w:val="698"/>
        </w:trPr>
        <w:tc>
          <w:tcPr>
            <w:tcW w:w="1543" w:type="pct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Знает: 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и концепцию бережливого производства; основы картирования потока создания ценностей; методы выявления, анализа и решения проблем производства; инструменты бережливого производства; принципы организации взаимодействия в цепочке процесса; виды потерь и методы их устранения; современные технологии повышения эффективности технологии внедрения улучшений; технологии вовлечения персонала в процесс непрерывных улучшений; систему подачи предложений</w:t>
            </w:r>
            <w:r w:rsidRPr="00B835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: 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0" w:type="pct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Демонстрирует системные знания об истории становления и развития бережливого производства; формулирует основные понятия бережливого производства; поясняет содержание принципов бережливого производства в соответствии с направленностью профессиональной деятельности; описывает основные подходы к картированию потока создания ценности; владеет основными понятиями для картирования процесса; демонстрирует системные знания о действиях, добавляющие ценности и потери; владеет основными методами выявления и анализа проблем; формулирует перечень необходимых шагов/действий для решения проблем; демонстрирует системные знания об инструментах бережливого производства и областях его применения;  оперирует знаниями при выборе </w:t>
            </w:r>
            <w:r w:rsidRPr="00B835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инструментов для решения производственной задачи, приводит теоретическое обоснование потенциальной пользы и рисков; демонстрирует знания при анализе в цепочке процесса; описывает последовательность организационных действий для улучшения процесса; демонстрирует знания по типизации производственных потерь и причинах их возникновения; демонстрирует системные знания о ключевые показатели эффективности бережливого производства; владеет основными понятиями реинжиниринга и демонстрирует знания инструментов процесса преобразований; описывает основные подходы к технологии мотивации персонала, принципы и методики вовлечения персонал в процесс непрерывных улучшений; формулирует перечень необходимых шагов для подачи предложений по улучшениям</w:t>
            </w:r>
          </w:p>
        </w:tc>
        <w:tc>
          <w:tcPr>
            <w:tcW w:w="1616" w:type="pc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Тестовый и устный контроль по заданной тематике.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Кейс-метод. Оценка решений ситуационных задач. Практические занятия. Деловые игры</w:t>
            </w:r>
          </w:p>
        </w:tc>
      </w:tr>
      <w:tr w:rsidR="00B835E3" w:rsidRPr="00B835E3" w:rsidTr="00A71848">
        <w:trPr>
          <w:trHeight w:val="698"/>
        </w:trPr>
        <w:tc>
          <w:tcPr>
            <w:tcW w:w="1543" w:type="pct"/>
          </w:tcPr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Умеет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профессиональную деятельность с соблюдением принципов бережливого производства; моделировать производственный процесс и строить карту потока создания ценностей; применять </w:t>
            </w:r>
            <w:r w:rsidRPr="00B835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диагностики потерь и устранять потери в процессах применять ключевые инструменты анализа и решения проблем, оценивать затраты на несоответствие; организовывать работу коллектива и команды в рамках реализации проектов по улучшениям; применять инструменты бережливого производства в соответствии со спецификой бизнес-процессов организации/производства</w:t>
            </w:r>
          </w:p>
        </w:tc>
        <w:tc>
          <w:tcPr>
            <w:tcW w:w="1840" w:type="pct"/>
          </w:tcPr>
          <w:p w:rsidR="00B835E3" w:rsidRPr="00B835E3" w:rsidRDefault="00B835E3" w:rsidP="00B83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Демонстрирует уровень внедрения принципов бережливого производства в профессиональную деятельность при решении производственных задач;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демонстрирует навык по выявлению ценности картированию потока создания ценностей; выбирает средства и методы моделирования и описания процесса; демонстрирует </w:t>
            </w:r>
            <w:r w:rsidRPr="00B835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умение выявлять, диагностировать и устранять потери в процессах; осуществляет и аргументирует выбор инструментов диагностики проблем; оценивает «цену» производственной ошибки и определяет возможность для корректирующих действий; предлагает алгоритм решения с учетом имеющихся ресурсов и ограничений; демонстрирует умение организовывать работу коллектива и команды в рамках реализации проектов по улучшениям; демонстрирует умение выбора и применения инструментов бережливого производства в заданных производственных условиях</w:t>
            </w:r>
          </w:p>
        </w:tc>
        <w:tc>
          <w:tcPr>
            <w:tcW w:w="1616" w:type="pct"/>
          </w:tcPr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Кейс-метод.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решений ситуационных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задач.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  <w:p w:rsidR="00B835E3" w:rsidRPr="00B835E3" w:rsidRDefault="00B835E3" w:rsidP="00B835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835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Деловые игры.</w:t>
            </w:r>
          </w:p>
          <w:p w:rsidR="00B835E3" w:rsidRPr="00B835E3" w:rsidRDefault="00B835E3" w:rsidP="00B835E3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B835E3" w:rsidRPr="00B835E3" w:rsidRDefault="00B835E3" w:rsidP="00B835E3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FA40C3" w:rsidRDefault="00B835E3"/>
    <w:sectPr w:rsidR="00FA40C3" w:rsidSect="00B835E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B835E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B835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0454494"/>
      <w:docPartObj>
        <w:docPartGallery w:val="Page Numbers (Top of Page)"/>
        <w:docPartUnique/>
      </w:docPartObj>
    </w:sdtPr>
    <w:sdtEndPr/>
    <w:sdtContent>
      <w:p w:rsidR="006158BE" w:rsidRDefault="00B835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6158BE" w:rsidRDefault="00B835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B835E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B835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09927B7"/>
    <w:multiLevelType w:val="multilevel"/>
    <w:tmpl w:val="609927B7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E3"/>
    <w:rsid w:val="00135457"/>
    <w:rsid w:val="001C616D"/>
    <w:rsid w:val="005909A7"/>
    <w:rsid w:val="00B835E3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E5D084"/>
  <w15:chartTrackingRefBased/>
  <w15:docId w15:val="{B8F32A35-D76B-4724-8D87-A780A817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2884</Words>
  <Characters>16439</Characters>
  <Application>Microsoft Office Word</Application>
  <DocSecurity>0</DocSecurity>
  <Lines>136</Lines>
  <Paragraphs>38</Paragraphs>
  <ScaleCrop>false</ScaleCrop>
  <Company/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2024-11-26T09:56:00Z</dcterms:created>
  <dcterms:modified xsi:type="dcterms:W3CDTF">2024-11-26T10:02:00Z</dcterms:modified>
</cp:coreProperties>
</file>